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0" w:rsidRDefault="00193D40" w:rsidP="00193D40">
      <w:pPr>
        <w:pStyle w:val="03INTESTAZIONEBOLD"/>
        <w:spacing w:line="360" w:lineRule="auto"/>
        <w:jc w:val="center"/>
        <w:rPr>
          <w:sz w:val="40"/>
          <w:szCs w:val="40"/>
        </w:rPr>
      </w:pPr>
      <w:r w:rsidRPr="00193D40">
        <w:rPr>
          <w:sz w:val="40"/>
          <w:szCs w:val="40"/>
        </w:rPr>
        <w:t>El nuevo Alfa Romeo Giulia</w:t>
      </w:r>
    </w:p>
    <w:p w:rsidR="00193D40" w:rsidRDefault="00193D40" w:rsidP="00193D40">
      <w:pPr>
        <w:pStyle w:val="03INTESTAZIONEBOLD"/>
        <w:spacing w:line="360" w:lineRule="auto"/>
        <w:jc w:val="center"/>
        <w:rPr>
          <w:sz w:val="40"/>
          <w:szCs w:val="40"/>
        </w:rPr>
      </w:pPr>
      <w:r w:rsidRPr="00193D40">
        <w:rPr>
          <w:sz w:val="40"/>
          <w:szCs w:val="40"/>
        </w:rPr>
        <w:t xml:space="preserve"> ya está a la venta</w:t>
      </w:r>
    </w:p>
    <w:p w:rsidR="002A6C43" w:rsidRPr="00193D40" w:rsidRDefault="002A6C43" w:rsidP="00193D40">
      <w:pPr>
        <w:pStyle w:val="03INTESTAZIONEBOLD"/>
        <w:spacing w:line="360" w:lineRule="auto"/>
        <w:jc w:val="center"/>
        <w:rPr>
          <w:b w:val="0"/>
          <w:sz w:val="40"/>
          <w:szCs w:val="40"/>
        </w:rPr>
      </w:pPr>
    </w:p>
    <w:p w:rsidR="002A6C43" w:rsidRPr="000A0ECA" w:rsidRDefault="002A6C43" w:rsidP="002A6C43">
      <w:pPr>
        <w:pStyle w:val="Prrafodelista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>Gama completa con precios a partir de 33.</w:t>
      </w:r>
      <w:r w:rsidRPr="002A6C43">
        <w:rPr>
          <w:b/>
        </w:rPr>
        <w:t>150 euros</w:t>
      </w:r>
    </w:p>
    <w:p w:rsidR="002A6C43" w:rsidRPr="001904A7" w:rsidRDefault="002A6C43" w:rsidP="002A6C43">
      <w:pPr>
        <w:pStyle w:val="Prrafodelista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>Disponible con pack Business Plus, enfocado para el mercado de empresas</w:t>
      </w:r>
    </w:p>
    <w:p w:rsidR="002A6C43" w:rsidRPr="000A0ECA" w:rsidRDefault="002A6C43" w:rsidP="002A6C43">
      <w:pPr>
        <w:pStyle w:val="Prrafodelista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 xml:space="preserve">Los motores, el diseño y las soluciones técnicas hacen del </w:t>
      </w:r>
      <w:proofErr w:type="spellStart"/>
      <w:r>
        <w:rPr>
          <w:b/>
        </w:rPr>
        <w:t>Giulia</w:t>
      </w:r>
      <w:proofErr w:type="spellEnd"/>
      <w:r>
        <w:rPr>
          <w:b/>
        </w:rPr>
        <w:t xml:space="preserve"> un auténtico Alfa Romeo</w:t>
      </w:r>
    </w:p>
    <w:p w:rsidR="002A6C43" w:rsidRPr="000A0ECA" w:rsidRDefault="002A6C43" w:rsidP="002A6C43">
      <w:pPr>
        <w:pStyle w:val="Prrafodelista"/>
        <w:numPr>
          <w:ilvl w:val="0"/>
          <w:numId w:val="24"/>
        </w:numPr>
        <w:spacing w:line="360" w:lineRule="auto"/>
        <w:jc w:val="both"/>
        <w:rPr>
          <w:b/>
        </w:rPr>
      </w:pPr>
      <w:r>
        <w:rPr>
          <w:b/>
        </w:rPr>
        <w:t>Los niveles de acabado y las opciones de financiación también están pensados para clientes empresariales y profesionales</w:t>
      </w:r>
    </w:p>
    <w:p w:rsidR="00193D40" w:rsidRPr="000A0ECA" w:rsidRDefault="00193D40" w:rsidP="002A6C43">
      <w:pPr>
        <w:pStyle w:val="Prrafodelista"/>
        <w:spacing w:line="360" w:lineRule="auto"/>
        <w:jc w:val="both"/>
        <w:rPr>
          <w:b/>
        </w:rPr>
      </w:pPr>
    </w:p>
    <w:p w:rsidR="00231A87" w:rsidRPr="0037698A" w:rsidRDefault="00231A87" w:rsidP="00193D40">
      <w:pPr>
        <w:spacing w:before="100" w:beforeAutospacing="1" w:after="100" w:afterAutospacing="1" w:line="360" w:lineRule="auto"/>
        <w:ind w:left="714" w:hanging="357"/>
        <w:jc w:val="both"/>
        <w:rPr>
          <w:b/>
        </w:rPr>
      </w:pPr>
    </w:p>
    <w:p w:rsidR="00513426" w:rsidRDefault="00400FA4" w:rsidP="00F34403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F34403">
        <w:rPr>
          <w:rFonts w:asciiTheme="minorHAnsi" w:hAnsiTheme="minorHAnsi" w:cstheme="minorHAnsi"/>
          <w:b/>
          <w:bCs/>
        </w:rPr>
        <w:t>1</w:t>
      </w:r>
      <w:r w:rsidR="00796EFC">
        <w:rPr>
          <w:rFonts w:asciiTheme="minorHAnsi" w:hAnsiTheme="minorHAnsi" w:cstheme="minorHAnsi"/>
          <w:b/>
          <w:bCs/>
        </w:rPr>
        <w:t>1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193D40">
        <w:rPr>
          <w:rFonts w:asciiTheme="minorHAnsi" w:hAnsiTheme="minorHAnsi" w:cstheme="minorHAnsi"/>
          <w:b/>
          <w:bCs/>
        </w:rPr>
        <w:t>mayo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513426" w:rsidRDefault="00513426" w:rsidP="00231A8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2A6C43" w:rsidRPr="002A6C43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noProof w:val="0"/>
          <w:color w:val="auto"/>
          <w:sz w:val="22"/>
          <w:szCs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A partir del 10 de mayo de 2016, será posible pedir el nuevo Alfa Romeo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Giulia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en todos los concesionarios Alfa Romeo de España.  La gama</w:t>
      </w:r>
      <w:r w:rsidRPr="002A6C43">
        <w:rPr>
          <w:rStyle w:val="hps"/>
          <w:noProof w:val="0"/>
          <w:color w:val="auto"/>
        </w:rPr>
        <w:t xml:space="preserve"> </w:t>
      </w:r>
      <w:r w:rsidRPr="002A6C43">
        <w:rPr>
          <w:rFonts w:asciiTheme="minorHAnsi" w:hAnsiTheme="minorHAnsi" w:cstheme="minorHAnsi"/>
          <w:sz w:val="22"/>
        </w:rPr>
        <w:t xml:space="preserve">inicial </w:t>
      </w:r>
      <w:r w:rsidRPr="002A6C43">
        <w:rPr>
          <w:rFonts w:asciiTheme="minorHAnsi" w:hAnsiTheme="minorHAnsi" w:cstheme="minorHAnsi"/>
          <w:noProof w:val="0"/>
          <w:sz w:val="22"/>
        </w:rPr>
        <w:t>está disponible en tres niveles de acabado:</w:t>
      </w:r>
      <w:r w:rsidRPr="002A6C43">
        <w:rPr>
          <w:rFonts w:asciiTheme="minorHAnsi" w:hAnsiTheme="minorHAnsi" w:cstheme="minorHAnsi"/>
          <w:noProof w:val="0"/>
          <w:color w:val="auto"/>
          <w:sz w:val="22"/>
        </w:rPr>
        <w:t xml:space="preserve"> </w:t>
      </w:r>
      <w:proofErr w:type="spellStart"/>
      <w:r w:rsidRPr="002A6C43">
        <w:rPr>
          <w:rFonts w:asciiTheme="minorHAnsi" w:hAnsiTheme="minorHAnsi" w:cstheme="minorHAnsi"/>
          <w:noProof w:val="0"/>
          <w:color w:val="auto"/>
          <w:sz w:val="22"/>
        </w:rPr>
        <w:t>Giulia</w:t>
      </w:r>
      <w:proofErr w:type="spellEnd"/>
      <w:r w:rsidRPr="002A6C43">
        <w:rPr>
          <w:rFonts w:asciiTheme="minorHAnsi" w:hAnsiTheme="minorHAnsi" w:cstheme="minorHAnsi"/>
          <w:noProof w:val="0"/>
          <w:color w:val="auto"/>
          <w:sz w:val="22"/>
        </w:rPr>
        <w:t xml:space="preserve">, </w:t>
      </w:r>
      <w:proofErr w:type="spellStart"/>
      <w:r w:rsidRPr="002A6C43">
        <w:rPr>
          <w:rFonts w:asciiTheme="minorHAnsi" w:hAnsiTheme="minorHAnsi" w:cstheme="minorHAnsi"/>
          <w:noProof w:val="0"/>
          <w:color w:val="auto"/>
          <w:sz w:val="22"/>
        </w:rPr>
        <w:t>Super</w:t>
      </w:r>
      <w:proofErr w:type="spellEnd"/>
      <w:r w:rsidRPr="002A6C43">
        <w:rPr>
          <w:rFonts w:asciiTheme="minorHAnsi" w:hAnsiTheme="minorHAnsi" w:cstheme="minorHAnsi"/>
          <w:noProof w:val="0"/>
          <w:color w:val="auto"/>
          <w:sz w:val="22"/>
        </w:rPr>
        <w:t xml:space="preserve"> y </w:t>
      </w:r>
      <w:proofErr w:type="spellStart"/>
      <w:r w:rsidRPr="002A6C43">
        <w:rPr>
          <w:rFonts w:asciiTheme="minorHAnsi" w:hAnsiTheme="minorHAnsi" w:cstheme="minorHAnsi"/>
          <w:noProof w:val="0"/>
          <w:color w:val="auto"/>
          <w:sz w:val="22"/>
        </w:rPr>
        <w:t>Quadrifoglio</w:t>
      </w:r>
      <w:proofErr w:type="spellEnd"/>
      <w:r w:rsidRPr="002A6C43">
        <w:rPr>
          <w:rFonts w:asciiTheme="minorHAnsi" w:hAnsiTheme="minorHAnsi" w:cstheme="minorHAnsi"/>
          <w:noProof w:val="0"/>
          <w:color w:val="auto"/>
          <w:sz w:val="22"/>
        </w:rPr>
        <w:t>.</w:t>
      </w:r>
      <w:r w:rsidRPr="002A6C43">
        <w:rPr>
          <w:rFonts w:asciiTheme="minorHAnsi" w:hAnsiTheme="minorHAnsi" w:cstheme="minorHAnsi"/>
          <w:noProof w:val="0"/>
          <w:sz w:val="22"/>
        </w:rPr>
        <w:t xml:space="preserve"> El nuevo </w:t>
      </w:r>
      <w:proofErr w:type="spellStart"/>
      <w:r w:rsidRPr="002A6C43">
        <w:rPr>
          <w:rFonts w:asciiTheme="minorHAnsi" w:hAnsiTheme="minorHAnsi" w:cstheme="minorHAnsi"/>
          <w:noProof w:val="0"/>
          <w:color w:val="auto"/>
          <w:sz w:val="22"/>
        </w:rPr>
        <w:t>Giulia</w:t>
      </w:r>
      <w:proofErr w:type="spellEnd"/>
      <w:r w:rsidRPr="002A6C43">
        <w:rPr>
          <w:rFonts w:asciiTheme="minorHAnsi" w:hAnsiTheme="minorHAnsi" w:cstheme="minorHAnsi"/>
          <w:noProof w:val="0"/>
          <w:color w:val="auto"/>
          <w:sz w:val="22"/>
        </w:rPr>
        <w:t xml:space="preserve"> </w:t>
      </w:r>
      <w:bookmarkStart w:id="0" w:name="_GoBack"/>
      <w:bookmarkEnd w:id="0"/>
      <w:r w:rsidRPr="002A6C43">
        <w:rPr>
          <w:rFonts w:asciiTheme="minorHAnsi" w:hAnsiTheme="minorHAnsi" w:cstheme="minorHAnsi"/>
          <w:noProof w:val="0"/>
          <w:color w:val="auto"/>
          <w:sz w:val="22"/>
        </w:rPr>
        <w:t xml:space="preserve">se ofrece con motorizaciones </w:t>
      </w:r>
      <w:proofErr w:type="spellStart"/>
      <w:r w:rsidRPr="002A6C43">
        <w:rPr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Fonts w:asciiTheme="minorHAnsi" w:hAnsiTheme="minorHAnsi" w:cstheme="minorHAnsi"/>
          <w:noProof w:val="0"/>
          <w:color w:val="auto"/>
          <w:sz w:val="22"/>
        </w:rPr>
        <w:t xml:space="preserve"> que cubren las necesidades del mercado. Contará con </w:t>
      </w: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una única unidad motriz de 2.2 litros con potencias de 136, 150 ó 180 CV, a la que hay que sumar el impresionante 2.9 V6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bi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-turbo gasolina de 510 CV, exclusivo para la versión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Quadrifoglio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El cliente tendrá la posibilidad de elegir entre una transmisión manual de 6 velocidades o una transmisión automática de 8 velocidades, dependiendo de la versión. El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de 136 CV siempre irá ligado a la transmisión manual, mientras que los 150 y 180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cv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podrán elegirse en versión manual o automática. El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Quadrifoglio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solamente estará disponible inicialmente con transmisión manual, aunque próximamente llegará una versión con cambio automático. </w:t>
      </w:r>
    </w:p>
    <w:p w:rsidR="002A6C43" w:rsidRPr="002A6C43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Los precios de la gama se dividen así:</w:t>
      </w:r>
    </w:p>
    <w:p w:rsidR="002A6C43" w:rsidRPr="002A6C43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noProof w:val="0"/>
          <w:color w:val="auto"/>
          <w:sz w:val="22"/>
        </w:rPr>
      </w:pP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2.2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136 CV Manual 6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GIULIA: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33.150€ P.V.P.</w:t>
      </w: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2.2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150 CV Manual 6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GIULIA: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34.550€ P.V.P.</w:t>
      </w: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lastRenderedPageBreak/>
        <w:t xml:space="preserve">2.2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150 CV Manual 6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SUPER: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36.050€ P.V.P.</w:t>
      </w: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2.2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150 CV Auto 8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GIULIA: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37.050€ P.V.P.</w:t>
      </w: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2.2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180 CV Manual 6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SUPER: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37.850€ P.V.P.</w:t>
      </w: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2.2.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150 CV Auto 8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SUPER: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38.550€ P.V.P.</w:t>
      </w: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2.2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diésel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180 CV Auto 8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SUPER: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40.350€ P.V.P.</w:t>
      </w:r>
    </w:p>
    <w:p w:rsidR="002A6C43" w:rsidRPr="002A6C43" w:rsidRDefault="002A6C43" w:rsidP="002A6C43">
      <w:pPr>
        <w:pStyle w:val="Rientro"/>
        <w:numPr>
          <w:ilvl w:val="0"/>
          <w:numId w:val="26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</w:pPr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2.9 V6 Bi-turbo gasolina 510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cv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Manual 6 </w:t>
      </w:r>
      <w:proofErr w:type="spellStart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>vel</w:t>
      </w:r>
      <w:proofErr w:type="spellEnd"/>
      <w:r w:rsidRPr="002A6C43"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. QUADRIFOGLIO: </w:t>
      </w:r>
      <w:r w:rsidRPr="002A6C43">
        <w:rPr>
          <w:rStyle w:val="hps"/>
          <w:rFonts w:asciiTheme="minorHAnsi" w:hAnsiTheme="minorHAnsi" w:cstheme="minorHAnsi"/>
          <w:b/>
          <w:noProof w:val="0"/>
          <w:color w:val="auto"/>
          <w:sz w:val="22"/>
        </w:rPr>
        <w:t>86.600€ P.V.P.</w:t>
      </w:r>
    </w:p>
    <w:p w:rsidR="002A6C43" w:rsidRPr="001F5066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noProof w:val="0"/>
          <w:color w:val="auto"/>
          <w:sz w:val="22"/>
          <w:szCs w:val="22"/>
          <w:highlight w:val="yellow"/>
        </w:rPr>
      </w:pPr>
      <w:r w:rsidRPr="001904A7">
        <w:rPr>
          <w:rStyle w:val="hps"/>
          <w:rFonts w:asciiTheme="minorHAnsi" w:hAnsiTheme="minorHAnsi" w:cstheme="minorHAnsi"/>
          <w:noProof w:val="0"/>
          <w:color w:val="auto"/>
          <w:sz w:val="22"/>
          <w:highlight w:val="yellow"/>
        </w:rPr>
        <w:t xml:space="preserve"> </w:t>
      </w:r>
    </w:p>
    <w:p w:rsidR="002A6C43" w:rsidRPr="000A0ECA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b/>
          <w:i/>
          <w:noProof w:val="0"/>
          <w:color w:val="auto"/>
          <w:sz w:val="22"/>
          <w:szCs w:val="22"/>
        </w:rPr>
      </w:pPr>
      <w:r>
        <w:rPr>
          <w:rStyle w:val="hps"/>
          <w:rFonts w:asciiTheme="minorHAnsi" w:hAnsiTheme="minorHAnsi" w:cstheme="minorHAnsi"/>
          <w:b/>
          <w:i/>
          <w:noProof w:val="0"/>
          <w:color w:val="auto"/>
          <w:sz w:val="22"/>
        </w:rPr>
        <w:t>Un verdadero Alfa Romeo</w:t>
      </w:r>
    </w:p>
    <w:p w:rsidR="002A6C43" w:rsidRPr="00EB0DD0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El nuevo </w:t>
      </w:r>
      <w:proofErr w:type="spellStart"/>
      <w:r>
        <w:rPr>
          <w:rStyle w:val="hps"/>
          <w:rFonts w:asciiTheme="minorHAnsi" w:hAnsiTheme="minorHAnsi" w:cstheme="minorHAnsi"/>
          <w:noProof w:val="0"/>
          <w:color w:val="auto"/>
          <w:sz w:val="22"/>
        </w:rPr>
        <w:t>Giulia</w:t>
      </w:r>
      <w:proofErr w:type="spellEnd"/>
      <w:r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 es la expresión más auténtica de Alfa Romeo, con un inconfundible diseño italiano</w:t>
      </w:r>
      <w:r>
        <w:rPr>
          <w:rFonts w:asciiTheme="minorHAnsi" w:hAnsiTheme="minorHAnsi" w:cstheme="minorHAnsi"/>
          <w:noProof w:val="0"/>
          <w:sz w:val="22"/>
        </w:rPr>
        <w:t xml:space="preserve">, altas prestaciones y motores innovadores, una distribución perfecta del peso (50/50) con una extraordinaria relación peso-potencia, soluciones técnicas exclusivas y </w:t>
      </w:r>
      <w:r>
        <w:rPr>
          <w:rStyle w:val="hps"/>
          <w:rFonts w:asciiTheme="minorHAnsi" w:hAnsiTheme="minorHAnsi" w:cstheme="minorHAnsi"/>
          <w:noProof w:val="0"/>
          <w:color w:val="auto"/>
          <w:sz w:val="22"/>
        </w:rPr>
        <w:t xml:space="preserve">tracción trasera en todas sus versiones, todo lo cual garantiza </w:t>
      </w:r>
      <w:r>
        <w:rPr>
          <w:rFonts w:asciiTheme="minorHAnsi" w:hAnsiTheme="minorHAnsi" w:cstheme="minorHAnsi"/>
          <w:noProof w:val="0"/>
          <w:sz w:val="22"/>
        </w:rPr>
        <w:t>alto rendimiento, pasión y entretenimiento. Hasta el mínimo detalle se ha diseñado pensando en el conductor.</w:t>
      </w:r>
    </w:p>
    <w:p w:rsidR="002A6C43" w:rsidRPr="000A0ECA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>
        <w:rPr>
          <w:rFonts w:asciiTheme="minorHAnsi" w:hAnsiTheme="minorHAnsi" w:cstheme="minorHAnsi"/>
          <w:noProof w:val="0"/>
          <w:color w:val="auto"/>
          <w:sz w:val="22"/>
        </w:rPr>
        <w:t xml:space="preserve">Los tres niveles de acabado del nuevo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Giulia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están pensados para satisfacer todas las necesidades y ofrecen amplias posibilidades de enriquecer y personalizar cada automóvil.</w:t>
      </w:r>
    </w:p>
    <w:p w:rsidR="002A6C43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</w:rPr>
      </w:pPr>
    </w:p>
    <w:p w:rsidR="002A6C43" w:rsidRPr="000A0ECA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>
        <w:rPr>
          <w:rFonts w:asciiTheme="minorHAnsi" w:hAnsiTheme="minorHAnsi" w:cstheme="minorHAnsi"/>
          <w:noProof w:val="0"/>
          <w:color w:val="auto"/>
          <w:sz w:val="22"/>
        </w:rPr>
        <w:t xml:space="preserve">El equipamiento de serie más destacado de la versión </w:t>
      </w:r>
      <w:r w:rsidRPr="00EB0DD0">
        <w:rPr>
          <w:rFonts w:asciiTheme="minorHAnsi" w:hAnsiTheme="minorHAnsi" w:cstheme="minorHAnsi"/>
          <w:b/>
          <w:noProof w:val="0"/>
          <w:color w:val="auto"/>
          <w:sz w:val="22"/>
        </w:rPr>
        <w:t>“</w:t>
      </w:r>
      <w:proofErr w:type="spellStart"/>
      <w:r w:rsidRPr="00EB0DD0">
        <w:rPr>
          <w:rFonts w:asciiTheme="minorHAnsi" w:hAnsiTheme="minorHAnsi" w:cstheme="minorHAnsi"/>
          <w:b/>
          <w:noProof w:val="0"/>
          <w:color w:val="auto"/>
          <w:sz w:val="22"/>
        </w:rPr>
        <w:t>Giulia</w:t>
      </w:r>
      <w:proofErr w:type="spellEnd"/>
      <w:r w:rsidRPr="00EB0DD0">
        <w:rPr>
          <w:rFonts w:asciiTheme="minorHAnsi" w:hAnsiTheme="minorHAnsi" w:cstheme="minorHAnsi"/>
          <w:b/>
          <w:noProof w:val="0"/>
          <w:color w:val="auto"/>
          <w:sz w:val="22"/>
        </w:rPr>
        <w:t>”</w:t>
      </w:r>
      <w:r>
        <w:rPr>
          <w:rFonts w:asciiTheme="minorHAnsi" w:hAnsiTheme="minorHAnsi" w:cstheme="minorHAnsi"/>
          <w:noProof w:val="0"/>
          <w:color w:val="auto"/>
          <w:sz w:val="22"/>
        </w:rPr>
        <w:t xml:space="preserve"> incluye nuevos y eficientes sistemas de seguridad activa, como aviso de colisión frontal (FCW) con freno autónomo de emergencia (AEB) y reconocimiento de peatones, sistema de frenos integrado (IBS), aviso de abandono del carril (LDW) y control de velocidad de crucero. A todo esto se añaden las características estéticas y funcionales, como las llantas de aleación de 16 pulgadas, climatización automática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bi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-zona, Alfa DNA con selección de modos de conducción y el sistema de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infoentretenimiento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Alfa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Connect</w:t>
      </w:r>
      <w:r>
        <w:rPr>
          <w:rFonts w:asciiTheme="minorHAnsi" w:hAnsiTheme="minorHAnsi" w:cstheme="minorHAnsi"/>
          <w:noProof w:val="0"/>
          <w:color w:val="auto"/>
          <w:sz w:val="22"/>
          <w:vertAlign w:val="superscript"/>
        </w:rPr>
        <w:t>TM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con pantalla de 6,5 pulgadas.</w:t>
      </w:r>
    </w:p>
    <w:p w:rsidR="002A6C43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</w:rPr>
      </w:pPr>
    </w:p>
    <w:p w:rsidR="002A6C43" w:rsidRPr="000A0ECA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>
        <w:rPr>
          <w:rFonts w:asciiTheme="minorHAnsi" w:hAnsiTheme="minorHAnsi" w:cstheme="minorHAnsi"/>
          <w:noProof w:val="0"/>
          <w:color w:val="auto"/>
          <w:sz w:val="22"/>
        </w:rPr>
        <w:t xml:space="preserve">La versión </w:t>
      </w:r>
      <w:r w:rsidRPr="00EB0DD0">
        <w:rPr>
          <w:rFonts w:asciiTheme="minorHAnsi" w:hAnsiTheme="minorHAnsi" w:cstheme="minorHAnsi"/>
          <w:b/>
          <w:noProof w:val="0"/>
          <w:color w:val="auto"/>
          <w:sz w:val="22"/>
        </w:rPr>
        <w:t>“</w:t>
      </w:r>
      <w:proofErr w:type="spellStart"/>
      <w:r w:rsidRPr="00EB0DD0">
        <w:rPr>
          <w:rFonts w:asciiTheme="minorHAnsi" w:hAnsiTheme="minorHAnsi" w:cstheme="minorHAnsi"/>
          <w:b/>
          <w:noProof w:val="0"/>
          <w:color w:val="auto"/>
          <w:sz w:val="22"/>
        </w:rPr>
        <w:t>Super</w:t>
      </w:r>
      <w:proofErr w:type="spellEnd"/>
      <w:r w:rsidRPr="00EB0DD0">
        <w:rPr>
          <w:rFonts w:asciiTheme="minorHAnsi" w:hAnsiTheme="minorHAnsi" w:cstheme="minorHAnsi"/>
          <w:b/>
          <w:noProof w:val="0"/>
          <w:color w:val="auto"/>
          <w:sz w:val="22"/>
        </w:rPr>
        <w:t>”</w:t>
      </w:r>
      <w:r>
        <w:rPr>
          <w:rFonts w:asciiTheme="minorHAnsi" w:hAnsiTheme="minorHAnsi" w:cstheme="minorHAnsi"/>
          <w:noProof w:val="0"/>
          <w:color w:val="auto"/>
          <w:sz w:val="22"/>
        </w:rPr>
        <w:t xml:space="preserve"> añade características interiores y exteriores exclusivas, como la doble salida de escape, asientos tapizados en piel y tela, sensores de parking traseros, llantas de aleación de 17 pulgadas y las levas en el volante para las versiones con cambio automático.</w:t>
      </w:r>
    </w:p>
    <w:p w:rsidR="002A6C43" w:rsidRPr="000A0ECA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noProof w:val="0"/>
          <w:color w:val="auto"/>
          <w:sz w:val="22"/>
          <w:szCs w:val="22"/>
        </w:rPr>
      </w:pPr>
    </w:p>
    <w:p w:rsidR="002A6C43" w:rsidRPr="000A0ECA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>
        <w:rPr>
          <w:rFonts w:asciiTheme="minorHAnsi" w:hAnsiTheme="minorHAnsi" w:cstheme="minorHAnsi"/>
          <w:noProof w:val="0"/>
          <w:color w:val="auto"/>
          <w:sz w:val="22"/>
        </w:rPr>
        <w:t xml:space="preserve">La versión de gama alta, el </w:t>
      </w:r>
      <w:proofErr w:type="spellStart"/>
      <w:r w:rsidRPr="00EB0DD0">
        <w:rPr>
          <w:rFonts w:asciiTheme="minorHAnsi" w:hAnsiTheme="minorHAnsi" w:cstheme="minorHAnsi"/>
          <w:b/>
          <w:noProof w:val="0"/>
          <w:color w:val="auto"/>
          <w:sz w:val="22"/>
        </w:rPr>
        <w:t>Quadrifoglio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, es todavía más deportivo y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prestacional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: con asientos deportivos en piel y alcántara de serie, volante deportivo con botón de encendido rojo, molduras interiores de fibra de carbono y aerodinámica activa exterior. El equipamiento para confort y seguridad incluye la tecnología de control de ángulo muerto (BSM) y cámara de </w:t>
      </w:r>
      <w:r>
        <w:rPr>
          <w:rFonts w:asciiTheme="minorHAnsi" w:hAnsiTheme="minorHAnsi" w:cstheme="minorHAnsi"/>
          <w:noProof w:val="0"/>
          <w:color w:val="auto"/>
          <w:sz w:val="22"/>
        </w:rPr>
        <w:lastRenderedPageBreak/>
        <w:t xml:space="preserve">visión trasera, además de faros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bi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- xenón con tecnología AFS adaptativa. También llaman la atención los aspectos técnicos diseñados específicamente para maximizar el rendimiento dinámico: el sistema Active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Aero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Splitter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, el sistema Torque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Vectoring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que funciona como diferencial trasero para controlar electrónicamente la entrega de par a cada una de las ruedas, o el selector DNA Pro con 4 posiciones y modo Race (competición) que se comunica con el sistema CDC (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Chassis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Domain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Control), que actúa de cerebro para coordinar toda la electrónica y la dinámica del vehículo. </w:t>
      </w:r>
    </w:p>
    <w:p w:rsidR="002A6C43" w:rsidRPr="000A0ECA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Style w:val="hps"/>
          <w:rFonts w:asciiTheme="minorHAnsi" w:hAnsiTheme="minorHAnsi" w:cstheme="minorHAnsi"/>
          <w:noProof w:val="0"/>
          <w:color w:val="auto"/>
          <w:sz w:val="22"/>
          <w:szCs w:val="22"/>
        </w:rPr>
      </w:pPr>
    </w:p>
    <w:p w:rsidR="002A6C43" w:rsidRPr="002A6C43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  <w:r>
        <w:rPr>
          <w:rFonts w:asciiTheme="minorHAnsi" w:hAnsiTheme="minorHAnsi" w:cstheme="minorHAnsi"/>
          <w:noProof w:val="0"/>
          <w:color w:val="auto"/>
          <w:sz w:val="22"/>
        </w:rPr>
        <w:t xml:space="preserve">Para incorporar mejoras adicionales, es posible solicitar numerosos packs que otorgan al vehículo mucho equipamiento adicional a un coste menor para el cliente. Destacan, por ejemplo, el  Pack Sport, el Pack Driver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Assistance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o el Pack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Sound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Theatre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. El Pack Sport completa la versión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Super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con la adición de volante deportivo con mejor agarre, apliques de aluminio en el salpicadero, túnel central y paneles de puerta, así como faros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bi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-xenón. El Pack Driver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Assistance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, disponible para las versiones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Giulia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y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Super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, complementa el pack estándar de asistencia al conductor con cámara de visión trasera con líneas de estacionamiento dinámicas y sensores de parking delanteros y traseros. El Pack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Sound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Theatre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complementa el equipamiento de serie suministrado con las versiones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Super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o 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Quadrifoglio</w:t>
      </w:r>
      <w:proofErr w:type="spellEnd"/>
      <w:r>
        <w:rPr>
          <w:rFonts w:asciiTheme="minorHAnsi" w:hAnsiTheme="minorHAnsi" w:cstheme="minorHAnsi"/>
          <w:noProof w:val="0"/>
          <w:color w:val="auto"/>
          <w:sz w:val="22"/>
        </w:rPr>
        <w:t xml:space="preserve"> al añadir un sistema de sonido de alto rendimiento firmado por Harman/</w:t>
      </w:r>
      <w:proofErr w:type="spellStart"/>
      <w:r>
        <w:rPr>
          <w:rFonts w:asciiTheme="minorHAnsi" w:hAnsiTheme="minorHAnsi" w:cstheme="minorHAnsi"/>
          <w:noProof w:val="0"/>
          <w:color w:val="auto"/>
          <w:sz w:val="22"/>
        </w:rPr>
        <w:t>Kardon</w:t>
      </w:r>
      <w:proofErr w:type="spellEnd"/>
      <w:r w:rsidRPr="00EB0DD0">
        <w:rPr>
          <w:rFonts w:asciiTheme="minorHAnsi" w:hAnsiTheme="minorHAnsi" w:cstheme="minorHAnsi"/>
          <w:noProof w:val="0"/>
          <w:color w:val="auto"/>
          <w:sz w:val="22"/>
        </w:rPr>
        <w:t>®</w:t>
      </w:r>
      <w:r>
        <w:rPr>
          <w:rFonts w:asciiTheme="minorHAnsi" w:hAnsiTheme="minorHAnsi" w:cstheme="minorHAnsi"/>
          <w:noProof w:val="0"/>
          <w:color w:val="auto"/>
          <w:sz w:val="22"/>
        </w:rPr>
        <w:t xml:space="preserve"> y luces de ambiente en el </w:t>
      </w:r>
      <w:r w:rsidRPr="002A6C43">
        <w:rPr>
          <w:rFonts w:asciiTheme="minorHAnsi" w:hAnsiTheme="minorHAnsi" w:cstheme="minorHAnsi"/>
          <w:noProof w:val="0"/>
          <w:color w:val="auto"/>
          <w:sz w:val="22"/>
        </w:rPr>
        <w:t xml:space="preserve">interior del vehículo. </w:t>
      </w:r>
    </w:p>
    <w:p w:rsidR="002A6C43" w:rsidRPr="002A6C43" w:rsidRDefault="002A6C43" w:rsidP="002A6C43">
      <w:pPr>
        <w:pStyle w:val="Rientro"/>
        <w:numPr>
          <w:ilvl w:val="0"/>
          <w:numId w:val="0"/>
        </w:numPr>
        <w:tabs>
          <w:tab w:val="clear" w:pos="0"/>
          <w:tab w:val="clear" w:pos="567"/>
          <w:tab w:val="clear" w:pos="1134"/>
          <w:tab w:val="left" w:pos="-1843"/>
        </w:tabs>
        <w:spacing w:after="0" w:line="360" w:lineRule="auto"/>
        <w:jc w:val="both"/>
        <w:rPr>
          <w:rFonts w:asciiTheme="minorHAnsi" w:hAnsiTheme="minorHAnsi" w:cstheme="minorHAnsi"/>
          <w:noProof w:val="0"/>
          <w:color w:val="auto"/>
          <w:sz w:val="22"/>
          <w:szCs w:val="22"/>
        </w:rPr>
      </w:pPr>
    </w:p>
    <w:p w:rsidR="002A6C43" w:rsidRPr="002A6C43" w:rsidRDefault="002A6C43" w:rsidP="002A6C43">
      <w:pPr>
        <w:autoSpaceDE w:val="0"/>
        <w:autoSpaceDN w:val="0"/>
        <w:spacing w:line="360" w:lineRule="auto"/>
        <w:rPr>
          <w:b/>
          <w:i/>
        </w:rPr>
      </w:pPr>
      <w:proofErr w:type="spellStart"/>
      <w:r w:rsidRPr="002A6C43">
        <w:rPr>
          <w:b/>
          <w:i/>
        </w:rPr>
        <w:t>Giulia</w:t>
      </w:r>
      <w:proofErr w:type="spellEnd"/>
      <w:r w:rsidRPr="002A6C43">
        <w:rPr>
          <w:b/>
          <w:i/>
        </w:rPr>
        <w:t xml:space="preserve"> para el mundo de los negocios</w:t>
      </w:r>
    </w:p>
    <w:p w:rsidR="002A6C43" w:rsidRPr="002A6C43" w:rsidRDefault="002A6C43" w:rsidP="002A6C43">
      <w:pPr>
        <w:autoSpaceDE w:val="0"/>
        <w:autoSpaceDN w:val="0"/>
        <w:spacing w:line="360" w:lineRule="auto"/>
        <w:jc w:val="both"/>
      </w:pPr>
      <w:r w:rsidRPr="002A6C43">
        <w:t xml:space="preserve">Se han diseñado packs específicos pensados para clientes profesionales, como el Pack Business Plus, que añade a la versión </w:t>
      </w:r>
      <w:proofErr w:type="spellStart"/>
      <w:r w:rsidRPr="002A6C43">
        <w:t>Giulia</w:t>
      </w:r>
      <w:proofErr w:type="spellEnd"/>
      <w:r w:rsidRPr="002A6C43">
        <w:t xml:space="preserve"> opciones tales como el sistema de navegación con pantalla de 6,5 pulgadas, sensores delanteros y traseros para estacionamiento, retrovisores exteriores e interior </w:t>
      </w:r>
      <w:proofErr w:type="spellStart"/>
      <w:r w:rsidRPr="002A6C43">
        <w:t>electrocrómicos</w:t>
      </w:r>
      <w:proofErr w:type="spellEnd"/>
      <w:r w:rsidRPr="002A6C43">
        <w:t xml:space="preserve">, cámara de visión trasera con líneas guía, avisador de ángulo muerto y asistente automático de cambio de luces. </w:t>
      </w:r>
    </w:p>
    <w:p w:rsidR="002A6C43" w:rsidRPr="002A6C43" w:rsidRDefault="002A6C43" w:rsidP="002A6C43">
      <w:pPr>
        <w:spacing w:line="360" w:lineRule="auto"/>
        <w:jc w:val="both"/>
        <w:rPr>
          <w:b/>
          <w:i/>
        </w:rPr>
      </w:pPr>
    </w:p>
    <w:p w:rsidR="002A6C43" w:rsidRPr="002A6C43" w:rsidRDefault="002A6C43" w:rsidP="002A6C43">
      <w:pPr>
        <w:spacing w:line="360" w:lineRule="auto"/>
        <w:jc w:val="both"/>
        <w:rPr>
          <w:b/>
          <w:i/>
        </w:rPr>
      </w:pPr>
      <w:r w:rsidRPr="002A6C43">
        <w:rPr>
          <w:b/>
          <w:i/>
        </w:rPr>
        <w:t xml:space="preserve">Opciones de financiación </w:t>
      </w:r>
    </w:p>
    <w:p w:rsidR="002A6C43" w:rsidRPr="002C751B" w:rsidRDefault="002A6C43" w:rsidP="002A6C43">
      <w:pPr>
        <w:spacing w:line="360" w:lineRule="auto"/>
        <w:jc w:val="both"/>
        <w:rPr>
          <w:rFonts w:cs="Arial"/>
          <w:shd w:val="clear" w:color="auto" w:fill="FFFFFF"/>
        </w:rPr>
      </w:pPr>
      <w:r>
        <w:t xml:space="preserve">Alfa Romeo Financiación, la financiera del grupo FCA, apoya el lanzamiento del nuevo </w:t>
      </w:r>
      <w:proofErr w:type="spellStart"/>
      <w:r>
        <w:t>Giulia</w:t>
      </w:r>
      <w:proofErr w:type="spellEnd"/>
      <w:r>
        <w:t xml:space="preserve"> ofreciendo soluciones financieras que se adapten a las necesidades de todos los clientes Alfa Romeo, desde privados hasta profesionales, autónomos y empresarios.</w:t>
      </w:r>
    </w:p>
    <w:p w:rsidR="002A6C43" w:rsidRDefault="002A6C43" w:rsidP="002A6C43">
      <w:pPr>
        <w:spacing w:line="360" w:lineRule="auto"/>
        <w:jc w:val="both"/>
      </w:pPr>
      <w:r>
        <w:rPr>
          <w:rFonts w:cs="Arial"/>
          <w:shd w:val="clear" w:color="auto" w:fill="FFFFFF"/>
        </w:rPr>
        <w:lastRenderedPageBreak/>
        <w:t xml:space="preserve">Plan </w:t>
      </w:r>
      <w:proofErr w:type="spellStart"/>
      <w:r>
        <w:rPr>
          <w:rFonts w:cs="Arial"/>
          <w:shd w:val="clear" w:color="auto" w:fill="FFFFFF"/>
        </w:rPr>
        <w:t>Classic</w:t>
      </w:r>
      <w:proofErr w:type="spellEnd"/>
      <w:r>
        <w:rPr>
          <w:rFonts w:cs="Arial"/>
          <w:shd w:val="clear" w:color="auto" w:fill="FFFFFF"/>
        </w:rPr>
        <w:t xml:space="preserve">: </w:t>
      </w:r>
      <w:r>
        <w:t>el plan de financiación más tradicional, donde el cliente paga lo mismo desde el principio hasta el final del contrato. Sin sorpresas, con la tranquilidad del pago constante.</w:t>
      </w:r>
    </w:p>
    <w:p w:rsidR="002A6C43" w:rsidRDefault="002A6C43" w:rsidP="002A6C43">
      <w:pPr>
        <w:spacing w:line="360" w:lineRule="auto"/>
        <w:jc w:val="both"/>
      </w:pPr>
      <w:proofErr w:type="spellStart"/>
      <w:r>
        <w:t>Easy</w:t>
      </w:r>
      <w:proofErr w:type="spellEnd"/>
      <w:r>
        <w:t xml:space="preserve"> Plan: la solución que permite disfrutar de un Alfa Romeo siempre nuevo y pagar una cuota más reducida. Entrada personalizable, cuotas fijas y flexibilidad para elegir la duración que más convenga al cliente. Y al finalizar el contrato, la posibilidad de elegir entre </w:t>
      </w:r>
      <w:proofErr w:type="gramStart"/>
      <w:r>
        <w:t>las siguiente opciones</w:t>
      </w:r>
      <w:proofErr w:type="gramEnd"/>
      <w:r>
        <w:t xml:space="preserve">: sustituir el vehículo comprando </w:t>
      </w:r>
      <w:r w:rsidRPr="00A166C3">
        <w:rPr>
          <w:rFonts w:ascii="Times New Roman" w:hAnsi="Times New Roman" w:cs="Times New Roman"/>
          <w:sz w:val="24"/>
          <w:szCs w:val="24"/>
        </w:rPr>
        <w:t>otro nuevo,</w:t>
      </w:r>
      <w:r>
        <w:t xml:space="preserve"> quedarse con el coche pagando la última cuota al contado o refinanciándola, o devolverlo.</w:t>
      </w:r>
    </w:p>
    <w:p w:rsidR="002A6C43" w:rsidRPr="00A166C3" w:rsidRDefault="002A6C43" w:rsidP="002A6C43">
      <w:pPr>
        <w:pStyle w:val="NormalWeb"/>
        <w:spacing w:line="36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A166C3">
        <w:rPr>
          <w:rFonts w:asciiTheme="minorHAnsi" w:eastAsiaTheme="minorHAnsi" w:hAnsiTheme="minorHAnsi" w:cstheme="minorBidi"/>
          <w:sz w:val="22"/>
          <w:szCs w:val="22"/>
        </w:rPr>
        <w:t xml:space="preserve">Alfa Free: La financiación que te permite disfrutar del nuevo </w:t>
      </w:r>
      <w:proofErr w:type="spellStart"/>
      <w:r w:rsidRPr="00A166C3">
        <w:rPr>
          <w:rFonts w:asciiTheme="minorHAnsi" w:eastAsiaTheme="minorHAnsi" w:hAnsiTheme="minorHAnsi" w:cstheme="minorBidi"/>
          <w:sz w:val="22"/>
          <w:szCs w:val="22"/>
        </w:rPr>
        <w:t>Giulia</w:t>
      </w:r>
      <w:proofErr w:type="spellEnd"/>
      <w:r w:rsidRPr="00A166C3">
        <w:rPr>
          <w:rFonts w:asciiTheme="minorHAnsi" w:eastAsiaTheme="minorHAnsi" w:hAnsiTheme="minorHAnsi" w:cstheme="minorBidi"/>
          <w:sz w:val="22"/>
          <w:szCs w:val="22"/>
        </w:rPr>
        <w:t xml:space="preserve"> pagando solo la mitad. Con Alfa Free el cliente </w:t>
      </w:r>
      <w:r>
        <w:rPr>
          <w:rFonts w:asciiTheme="minorHAnsi" w:eastAsiaTheme="minorHAnsi" w:hAnsiTheme="minorHAnsi" w:cstheme="minorBidi"/>
          <w:sz w:val="22"/>
          <w:szCs w:val="22"/>
        </w:rPr>
        <w:t>pagará</w:t>
      </w:r>
      <w:r w:rsidRPr="00A166C3">
        <w:rPr>
          <w:rFonts w:asciiTheme="minorHAnsi" w:eastAsiaTheme="minorHAnsi" w:hAnsiTheme="minorHAnsi" w:cstheme="minorBidi"/>
          <w:sz w:val="22"/>
          <w:szCs w:val="22"/>
        </w:rPr>
        <w:t xml:space="preserve"> una entrada inicial aproximada del 50% del valor del </w:t>
      </w:r>
      <w:r>
        <w:rPr>
          <w:rFonts w:asciiTheme="minorHAnsi" w:eastAsiaTheme="minorHAnsi" w:hAnsiTheme="minorHAnsi" w:cstheme="minorBidi"/>
          <w:sz w:val="22"/>
          <w:szCs w:val="22"/>
        </w:rPr>
        <w:t>vehículo y tras 24 meses tendrá</w:t>
      </w:r>
      <w:r w:rsidRPr="00A166C3">
        <w:rPr>
          <w:rFonts w:asciiTheme="minorHAnsi" w:eastAsiaTheme="minorHAnsi" w:hAnsiTheme="minorHAnsi" w:cstheme="minorBidi"/>
          <w:sz w:val="22"/>
          <w:szCs w:val="22"/>
        </w:rPr>
        <w:t xml:space="preserve"> la libertad de elegi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r la opción que más te convenga: </w:t>
      </w:r>
      <w:r w:rsidRPr="00A166C3">
        <w:rPr>
          <w:rFonts w:asciiTheme="minorHAnsi" w:eastAsiaTheme="minorHAnsi" w:hAnsiTheme="minorHAnsi" w:cstheme="minorBidi"/>
          <w:sz w:val="22"/>
          <w:szCs w:val="22"/>
        </w:rPr>
        <w:t> </w:t>
      </w:r>
      <w:r>
        <w:rPr>
          <w:rFonts w:asciiTheme="minorHAnsi" w:eastAsiaTheme="minorHAnsi" w:hAnsiTheme="minorHAnsi" w:cstheme="minorBidi"/>
          <w:sz w:val="22"/>
          <w:szCs w:val="22"/>
        </w:rPr>
        <w:t>c</w:t>
      </w:r>
      <w:r w:rsidRPr="00A166C3">
        <w:rPr>
          <w:rFonts w:asciiTheme="minorHAnsi" w:eastAsiaTheme="minorHAnsi" w:hAnsiTheme="minorHAnsi" w:cstheme="minorBidi"/>
          <w:sz w:val="22"/>
          <w:szCs w:val="22"/>
        </w:rPr>
        <w:t>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mbiar su coche por uno nuevo , quedárselo </w:t>
      </w:r>
      <w:r w:rsidRPr="00A166C3">
        <w:rPr>
          <w:rFonts w:asciiTheme="minorHAnsi" w:eastAsiaTheme="minorHAnsi" w:hAnsiTheme="minorHAnsi" w:cstheme="minorBidi"/>
          <w:sz w:val="22"/>
          <w:szCs w:val="22"/>
        </w:rPr>
        <w:t xml:space="preserve">pagando la última cuota o solicitar </w:t>
      </w:r>
      <w:r>
        <w:rPr>
          <w:rFonts w:asciiTheme="minorHAnsi" w:eastAsiaTheme="minorHAnsi" w:hAnsiTheme="minorHAnsi" w:cstheme="minorBidi"/>
          <w:sz w:val="22"/>
          <w:szCs w:val="22"/>
        </w:rPr>
        <w:t>la refinanciación, o d</w:t>
      </w:r>
      <w:r w:rsidRPr="00A166C3">
        <w:rPr>
          <w:rFonts w:asciiTheme="minorHAnsi" w:eastAsiaTheme="minorHAnsi" w:hAnsiTheme="minorHAnsi" w:cstheme="minorBidi"/>
          <w:sz w:val="22"/>
          <w:szCs w:val="22"/>
        </w:rPr>
        <w:t>evolverlo. </w:t>
      </w:r>
      <w:r w:rsidRPr="00664DB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El único producto de financiación s</w:t>
      </w:r>
      <w:r w:rsidRPr="00664DB2">
        <w:rPr>
          <w:rFonts w:asciiTheme="minorHAnsi" w:eastAsiaTheme="minorHAnsi" w:hAnsiTheme="minorHAnsi" w:cstheme="minorBidi"/>
          <w:sz w:val="22"/>
          <w:szCs w:val="22"/>
        </w:rPr>
        <w:t>in cuotas durante 24 meses y con la ventaja de una financiación sin intereses.</w:t>
      </w:r>
    </w:p>
    <w:p w:rsidR="002A6C43" w:rsidRDefault="002A6C43" w:rsidP="002A6C43">
      <w:pPr>
        <w:spacing w:line="360" w:lineRule="auto"/>
        <w:jc w:val="both"/>
      </w:pPr>
      <w:proofErr w:type="spellStart"/>
      <w:r>
        <w:t>Easy</w:t>
      </w:r>
      <w:proofErr w:type="spellEnd"/>
      <w:r>
        <w:t xml:space="preserve"> </w:t>
      </w:r>
      <w:proofErr w:type="spellStart"/>
      <w:r>
        <w:t>lease</w:t>
      </w:r>
      <w:proofErr w:type="spellEnd"/>
      <w:r>
        <w:t xml:space="preserve">: </w:t>
      </w:r>
      <w:r w:rsidRPr="003663BC">
        <w:t xml:space="preserve">pensado para empresas, personas jurídicas y </w:t>
      </w:r>
      <w:proofErr w:type="gramStart"/>
      <w:r w:rsidRPr="003663BC">
        <w:t>autónomos</w:t>
      </w:r>
      <w:proofErr w:type="gramEnd"/>
      <w:r w:rsidRPr="003663BC">
        <w:t xml:space="preserve">, que combina todas las ventajas de </w:t>
      </w:r>
      <w:proofErr w:type="spellStart"/>
      <w:r w:rsidRPr="003663BC">
        <w:t>Easy</w:t>
      </w:r>
      <w:proofErr w:type="spellEnd"/>
      <w:r w:rsidRPr="003663BC">
        <w:t xml:space="preserve"> Plan y del Leasing tradicional.  Entrada personalizada según disponibilidades, </w:t>
      </w:r>
      <w:proofErr w:type="gramStart"/>
      <w:r w:rsidRPr="003663BC">
        <w:t>cuotas</w:t>
      </w:r>
      <w:proofErr w:type="gramEnd"/>
      <w:r w:rsidRPr="003663BC">
        <w:t xml:space="preserve"> más re</w:t>
      </w:r>
      <w:r>
        <w:t>ducida respecto al leasing y</w:t>
      </w:r>
      <w:r w:rsidRPr="003663BC">
        <w:t xml:space="preserve"> con la posibilidad de d</w:t>
      </w:r>
      <w:r>
        <w:t xml:space="preserve">educirlas fiscalmente. Además </w:t>
      </w:r>
      <w:r w:rsidRPr="003663BC">
        <w:t xml:space="preserve"> ofrece la flexibilidad de poder elegir al </w:t>
      </w:r>
      <w:r>
        <w:t>finalizar el contrato si quedars</w:t>
      </w:r>
      <w:r w:rsidRPr="003663BC">
        <w:t>e con el coche pagando la última cuota al contado o refinanciándola, o devolverlo.</w:t>
      </w:r>
    </w:p>
    <w:p w:rsidR="002A6C43" w:rsidRDefault="002A6C43" w:rsidP="002A6C43">
      <w:pPr>
        <w:spacing w:line="360" w:lineRule="auto"/>
        <w:jc w:val="both"/>
      </w:pPr>
      <w:r>
        <w:t xml:space="preserve">Leasing: la solución para profesionales independientes, trabajadores autónomos o empresarios. Este sistema te permite disponer libremente de un vehículo sin renunciar al capital con la compra del mismo.  </w:t>
      </w:r>
    </w:p>
    <w:p w:rsidR="002A6C43" w:rsidRPr="00664DB2" w:rsidRDefault="002A6C43" w:rsidP="002A6C43">
      <w:pPr>
        <w:spacing w:line="360" w:lineRule="auto"/>
        <w:jc w:val="both"/>
      </w:pPr>
      <w:proofErr w:type="spellStart"/>
      <w:r>
        <w:t>Renting</w:t>
      </w:r>
      <w:proofErr w:type="spellEnd"/>
      <w:r>
        <w:t xml:space="preserve">: el alquiler a largo plazo </w:t>
      </w:r>
      <w:r w:rsidRPr="003663BC">
        <w:t xml:space="preserve">que </w:t>
      </w:r>
      <w:r>
        <w:t xml:space="preserve">permite </w:t>
      </w:r>
      <w:r w:rsidRPr="003663BC">
        <w:t>al cliente</w:t>
      </w:r>
      <w:r>
        <w:t xml:space="preserve"> </w:t>
      </w:r>
      <w:r w:rsidRPr="003663BC">
        <w:t>acceder a su flota, sea cual sea el tamaño de su empresa,  horrando  tiempo, dinero y energía</w:t>
      </w:r>
      <w:r>
        <w:rPr>
          <w:rFonts w:ascii="Lato" w:hAnsi="Lato"/>
          <w:color w:val="282828"/>
          <w:sz w:val="21"/>
          <w:szCs w:val="21"/>
        </w:rPr>
        <w:t>.</w:t>
      </w:r>
    </w:p>
    <w:p w:rsidR="002A6C43" w:rsidRDefault="002A6C43" w:rsidP="002A6C43">
      <w:pPr>
        <w:spacing w:line="360" w:lineRule="auto"/>
        <w:jc w:val="both"/>
      </w:pPr>
      <w:r>
        <w:t xml:space="preserve">Junto a la financiación, Alfa Romeo Financiación, ofrece siempre una  amplia variedad de servicios diseñados para proteger el vehículo y al cliente durante la vida del contrato como: seguros de protección de crédito, seguro de Automóvil, seguro </w:t>
      </w:r>
      <w:r w:rsidRPr="00C833E2">
        <w:t>Car (</w:t>
      </w:r>
      <w:proofErr w:type="spellStart"/>
      <w:r w:rsidRPr="00C833E2">
        <w:t>Cover</w:t>
      </w:r>
      <w:proofErr w:type="spellEnd"/>
      <w:r w:rsidRPr="00C833E2">
        <w:t xml:space="preserve"> Auto </w:t>
      </w:r>
      <w:proofErr w:type="spellStart"/>
      <w:r w:rsidRPr="00C833E2">
        <w:t>Return</w:t>
      </w:r>
      <w:proofErr w:type="spellEnd"/>
      <w:r w:rsidRPr="00C833E2">
        <w:t>)</w:t>
      </w:r>
      <w:r>
        <w:t>, Extensión de garantía,  planes de mantenimiento</w:t>
      </w:r>
      <w:r w:rsidRPr="00C833E2">
        <w:t xml:space="preserve"> y servicios </w:t>
      </w:r>
      <w:proofErr w:type="spellStart"/>
      <w:r w:rsidRPr="00C833E2">
        <w:t>legalitas</w:t>
      </w:r>
      <w:proofErr w:type="spellEnd"/>
      <w:r w:rsidRPr="00C833E2">
        <w:t>.</w:t>
      </w:r>
    </w:p>
    <w:p w:rsidR="00994DB9" w:rsidRPr="00D336F2" w:rsidRDefault="00994DB9" w:rsidP="00231A87">
      <w:pPr>
        <w:jc w:val="both"/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193D40" w:rsidRDefault="00193D40" w:rsidP="00193D40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n-US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n-US" w:eastAsia="it-IT"/>
        </w:rPr>
        <w:t xml:space="preserve">Marta Martin </w:t>
      </w:r>
    </w:p>
    <w:p w:rsidR="00193D40" w:rsidRDefault="00193D40" w:rsidP="00193D40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>FCA Press Manager</w:t>
      </w:r>
    </w:p>
    <w:p w:rsidR="00193D40" w:rsidRDefault="00193D40" w:rsidP="00193D40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</w:p>
    <w:p w:rsidR="00193D40" w:rsidRDefault="00193D40" w:rsidP="00193D40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</w:pPr>
      <w:r>
        <w:rPr>
          <w:rFonts w:ascii="Arial" w:eastAsia="Calibri" w:hAnsi="Arial" w:cs="Arial"/>
          <w:color w:val="A6A6A6" w:themeColor="background1" w:themeShade="A6"/>
          <w:sz w:val="16"/>
          <w:szCs w:val="16"/>
          <w:lang w:val="en-US" w:eastAsia="it-IT"/>
        </w:rPr>
        <w:t xml:space="preserve">Tel. +34 918 853 480 - +34 660 807 439 </w:t>
      </w:r>
    </w:p>
    <w:p w:rsidR="00193D40" w:rsidRPr="002A6C43" w:rsidRDefault="00193D40" w:rsidP="00193D40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2A6C43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9" w:history="1">
        <w:r w:rsidRPr="002A6C43">
          <w:rPr>
            <w:rStyle w:val="Hipervnculo"/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lang w:eastAsia="it-IT"/>
          </w:rPr>
          <w:t>marta.martin@fcagroup.com</w:t>
        </w:r>
      </w:hyperlink>
    </w:p>
    <w:p w:rsidR="00193D40" w:rsidRPr="002A6C43" w:rsidRDefault="00193D40" w:rsidP="00193D40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193D40" w:rsidRDefault="00193D40" w:rsidP="00193D40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193D40" w:rsidRDefault="00193D40" w:rsidP="00193D40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WEB DE PRENSA: </w:t>
      </w:r>
      <w:hyperlink r:id="rId10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http://www.alfaromeopress.es/</w:t>
        </w:r>
      </w:hyperlink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</w:p>
    <w:p w:rsidR="00193D40" w:rsidRDefault="00193D40" w:rsidP="00193D40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lastRenderedPageBreak/>
        <w:t xml:space="preserve">CANAL YOUTUBE: </w:t>
      </w:r>
      <w:hyperlink r:id="rId11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https://www.youtube.com/user/alfaromeooficial</w:t>
        </w:r>
      </w:hyperlink>
    </w:p>
    <w:p w:rsidR="00193D40" w:rsidRDefault="00193D40" w:rsidP="00193D40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FACEBOOK: </w:t>
      </w:r>
      <w:hyperlink r:id="rId12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https://www.facebook.com/alfaromeo.espana.oficial</w:t>
        </w:r>
      </w:hyperlink>
    </w:p>
    <w:p w:rsidR="00193D40" w:rsidRDefault="00193D40" w:rsidP="00193D40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TWITTER: </w:t>
      </w:r>
      <w:hyperlink r:id="rId13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val="pt-BR" w:eastAsia="it-IT"/>
          </w:rPr>
          <w:t>https://twitter.com/alfaromeo_es</w:t>
        </w:r>
      </w:hyperlink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pt-BR" w:eastAsia="it-IT"/>
        </w:rPr>
        <w:t xml:space="preserve"> </w:t>
      </w:r>
    </w:p>
    <w:p w:rsidR="00193D40" w:rsidRDefault="00193D40" w:rsidP="00193D40">
      <w:pPr>
        <w:pBdr>
          <w:top w:val="single" w:sz="4" w:space="1" w:color="auto"/>
        </w:pBdr>
        <w:spacing w:line="300" w:lineRule="exact"/>
      </w:pPr>
      <w:r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  <w:t xml:space="preserve">WEB ALFA ROMEO EN ESPAÑA:  </w:t>
      </w:r>
      <w:hyperlink r:id="rId14" w:history="1">
        <w:r>
          <w:rPr>
            <w:rStyle w:val="Hipervnculo"/>
            <w:rFonts w:ascii="Helvetica" w:hAnsi="Helvetica" w:cs="Times New Roman"/>
            <w:b/>
            <w:sz w:val="16"/>
            <w:szCs w:val="16"/>
            <w:lang w:eastAsia="it-IT"/>
          </w:rPr>
          <w:t>http://www.alfaromeo.es/</w:t>
        </w:r>
      </w:hyperlink>
    </w:p>
    <w:p w:rsidR="002615BB" w:rsidRPr="00193D40" w:rsidRDefault="002615BB" w:rsidP="00193D40">
      <w:pPr>
        <w:jc w:val="both"/>
      </w:pPr>
    </w:p>
    <w:sectPr w:rsidR="002615BB" w:rsidRPr="00193D40" w:rsidSect="00F13A2E">
      <w:headerReference w:type="default" r:id="rId15"/>
      <w:footerReference w:type="default" r:id="rId16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DD" w:rsidRDefault="002574DD" w:rsidP="0040727A">
      <w:r>
        <w:separator/>
      </w:r>
    </w:p>
  </w:endnote>
  <w:endnote w:type="continuationSeparator" w:id="0">
    <w:p w:rsidR="002574DD" w:rsidRDefault="002574D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6206DD">
    <w:pPr>
      <w:pStyle w:val="Piedepgina"/>
    </w:pPr>
    <w:r w:rsidRPr="006206D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6206DD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7C552B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</w:t>
                </w:r>
                <w:r w:rsidR="0040727A"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6206DD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DD" w:rsidRDefault="002574DD" w:rsidP="0040727A">
      <w:r>
        <w:separator/>
      </w:r>
    </w:p>
  </w:footnote>
  <w:footnote w:type="continuationSeparator" w:id="0">
    <w:p w:rsidR="002574DD" w:rsidRDefault="002574D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80"/>
    <w:multiLevelType w:val="hybridMultilevel"/>
    <w:tmpl w:val="41F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4807"/>
    <w:multiLevelType w:val="hybridMultilevel"/>
    <w:tmpl w:val="FF40D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F647D"/>
    <w:multiLevelType w:val="hybridMultilevel"/>
    <w:tmpl w:val="CCFE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5ADA"/>
    <w:multiLevelType w:val="hybridMultilevel"/>
    <w:tmpl w:val="B422F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E644E"/>
    <w:multiLevelType w:val="hybridMultilevel"/>
    <w:tmpl w:val="69624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02D29"/>
    <w:multiLevelType w:val="hybridMultilevel"/>
    <w:tmpl w:val="9E6AB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F5C3E"/>
    <w:multiLevelType w:val="hybridMultilevel"/>
    <w:tmpl w:val="DEA6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8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5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A1D7B"/>
    <w:multiLevelType w:val="hybridMultilevel"/>
    <w:tmpl w:val="62FA8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14"/>
  </w:num>
  <w:num w:numId="5">
    <w:abstractNumId w:val="21"/>
  </w:num>
  <w:num w:numId="6">
    <w:abstractNumId w:val="24"/>
  </w:num>
  <w:num w:numId="7">
    <w:abstractNumId w:val="11"/>
  </w:num>
  <w:num w:numId="8">
    <w:abstractNumId w:val="6"/>
  </w:num>
  <w:num w:numId="9">
    <w:abstractNumId w:val="18"/>
  </w:num>
  <w:num w:numId="10">
    <w:abstractNumId w:val="20"/>
  </w:num>
  <w:num w:numId="11">
    <w:abstractNumId w:val="13"/>
  </w:num>
  <w:num w:numId="12">
    <w:abstractNumId w:val="5"/>
  </w:num>
  <w:num w:numId="13">
    <w:abstractNumId w:val="22"/>
  </w:num>
  <w:num w:numId="14">
    <w:abstractNumId w:val="0"/>
  </w:num>
  <w:num w:numId="15">
    <w:abstractNumId w:val="8"/>
  </w:num>
  <w:num w:numId="16">
    <w:abstractNumId w:val="23"/>
  </w:num>
  <w:num w:numId="17">
    <w:abstractNumId w:val="25"/>
  </w:num>
  <w:num w:numId="18">
    <w:abstractNumId w:val="15"/>
  </w:num>
  <w:num w:numId="19">
    <w:abstractNumId w:val="1"/>
  </w:num>
  <w:num w:numId="20">
    <w:abstractNumId w:val="2"/>
  </w:num>
  <w:num w:numId="21">
    <w:abstractNumId w:val="3"/>
  </w:num>
  <w:num w:numId="22">
    <w:abstractNumId w:val="10"/>
  </w:num>
  <w:num w:numId="23">
    <w:abstractNumId w:val="16"/>
  </w:num>
  <w:num w:numId="24">
    <w:abstractNumId w:val="26"/>
  </w:num>
  <w:num w:numId="25">
    <w:abstractNumId w:val="17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FA"/>
    <w:rsid w:val="00037BBE"/>
    <w:rsid w:val="000410F9"/>
    <w:rsid w:val="000622BB"/>
    <w:rsid w:val="00065268"/>
    <w:rsid w:val="00072308"/>
    <w:rsid w:val="000747E3"/>
    <w:rsid w:val="00087305"/>
    <w:rsid w:val="00094C8F"/>
    <w:rsid w:val="000A3557"/>
    <w:rsid w:val="000E3E1D"/>
    <w:rsid w:val="000E76D3"/>
    <w:rsid w:val="000F1C53"/>
    <w:rsid w:val="000F5F49"/>
    <w:rsid w:val="001057D0"/>
    <w:rsid w:val="00117539"/>
    <w:rsid w:val="0011766D"/>
    <w:rsid w:val="001224F3"/>
    <w:rsid w:val="00124674"/>
    <w:rsid w:val="00127575"/>
    <w:rsid w:val="001321C7"/>
    <w:rsid w:val="00145E08"/>
    <w:rsid w:val="00152E1F"/>
    <w:rsid w:val="0016044E"/>
    <w:rsid w:val="001643D7"/>
    <w:rsid w:val="00170870"/>
    <w:rsid w:val="00193D40"/>
    <w:rsid w:val="00196436"/>
    <w:rsid w:val="001A44E1"/>
    <w:rsid w:val="001A73C0"/>
    <w:rsid w:val="001B476D"/>
    <w:rsid w:val="001B5873"/>
    <w:rsid w:val="001D570A"/>
    <w:rsid w:val="001E299F"/>
    <w:rsid w:val="001E2E74"/>
    <w:rsid w:val="001E6F08"/>
    <w:rsid w:val="001E72DE"/>
    <w:rsid w:val="001F1D6F"/>
    <w:rsid w:val="001F43CC"/>
    <w:rsid w:val="001F760A"/>
    <w:rsid w:val="002027F5"/>
    <w:rsid w:val="0022002D"/>
    <w:rsid w:val="002216E7"/>
    <w:rsid w:val="00231A87"/>
    <w:rsid w:val="00232CD5"/>
    <w:rsid w:val="00235E55"/>
    <w:rsid w:val="0024164A"/>
    <w:rsid w:val="00242880"/>
    <w:rsid w:val="00243126"/>
    <w:rsid w:val="00243D71"/>
    <w:rsid w:val="002463D0"/>
    <w:rsid w:val="002574DD"/>
    <w:rsid w:val="002615BB"/>
    <w:rsid w:val="002632B2"/>
    <w:rsid w:val="00277BED"/>
    <w:rsid w:val="00290304"/>
    <w:rsid w:val="002933B0"/>
    <w:rsid w:val="002A326D"/>
    <w:rsid w:val="002A6C43"/>
    <w:rsid w:val="002C2B49"/>
    <w:rsid w:val="002C3F7E"/>
    <w:rsid w:val="002D6459"/>
    <w:rsid w:val="002E0018"/>
    <w:rsid w:val="002E7B9B"/>
    <w:rsid w:val="002F4162"/>
    <w:rsid w:val="002F608C"/>
    <w:rsid w:val="00300E09"/>
    <w:rsid w:val="00301313"/>
    <w:rsid w:val="003205CA"/>
    <w:rsid w:val="00346670"/>
    <w:rsid w:val="003B5E1C"/>
    <w:rsid w:val="003D0012"/>
    <w:rsid w:val="003F6D89"/>
    <w:rsid w:val="003F7CF8"/>
    <w:rsid w:val="00400FA4"/>
    <w:rsid w:val="0040727A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813B3"/>
    <w:rsid w:val="004A5948"/>
    <w:rsid w:val="004B4360"/>
    <w:rsid w:val="004C2471"/>
    <w:rsid w:val="004E1754"/>
    <w:rsid w:val="004F014F"/>
    <w:rsid w:val="004F0454"/>
    <w:rsid w:val="004F2BD9"/>
    <w:rsid w:val="004F5277"/>
    <w:rsid w:val="00513426"/>
    <w:rsid w:val="00520274"/>
    <w:rsid w:val="005223CD"/>
    <w:rsid w:val="0052590C"/>
    <w:rsid w:val="005272E3"/>
    <w:rsid w:val="00534CF0"/>
    <w:rsid w:val="00537D2F"/>
    <w:rsid w:val="0055058C"/>
    <w:rsid w:val="00554CA7"/>
    <w:rsid w:val="005616EA"/>
    <w:rsid w:val="00561B63"/>
    <w:rsid w:val="00565ACC"/>
    <w:rsid w:val="00566D8C"/>
    <w:rsid w:val="0056771A"/>
    <w:rsid w:val="005769CF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06DD"/>
    <w:rsid w:val="006242B8"/>
    <w:rsid w:val="00626908"/>
    <w:rsid w:val="0065016B"/>
    <w:rsid w:val="00656460"/>
    <w:rsid w:val="00657241"/>
    <w:rsid w:val="00660FD5"/>
    <w:rsid w:val="0066447B"/>
    <w:rsid w:val="006B64C5"/>
    <w:rsid w:val="006E44CA"/>
    <w:rsid w:val="006F5F0D"/>
    <w:rsid w:val="0071298B"/>
    <w:rsid w:val="0071611C"/>
    <w:rsid w:val="00742856"/>
    <w:rsid w:val="00747D6E"/>
    <w:rsid w:val="007555AD"/>
    <w:rsid w:val="00764FCD"/>
    <w:rsid w:val="00772A0C"/>
    <w:rsid w:val="007820C2"/>
    <w:rsid w:val="007826F7"/>
    <w:rsid w:val="00787370"/>
    <w:rsid w:val="00795C25"/>
    <w:rsid w:val="00795D8C"/>
    <w:rsid w:val="00796EFC"/>
    <w:rsid w:val="007B2775"/>
    <w:rsid w:val="007C22FB"/>
    <w:rsid w:val="007C552B"/>
    <w:rsid w:val="007D228B"/>
    <w:rsid w:val="007F42CE"/>
    <w:rsid w:val="008031A4"/>
    <w:rsid w:val="00807297"/>
    <w:rsid w:val="00817C83"/>
    <w:rsid w:val="00835BAA"/>
    <w:rsid w:val="00841B8B"/>
    <w:rsid w:val="00841FC4"/>
    <w:rsid w:val="008451F1"/>
    <w:rsid w:val="00847DB8"/>
    <w:rsid w:val="00851911"/>
    <w:rsid w:val="0085283B"/>
    <w:rsid w:val="00867F12"/>
    <w:rsid w:val="00890F17"/>
    <w:rsid w:val="008C6C41"/>
    <w:rsid w:val="008D4F01"/>
    <w:rsid w:val="008F1E12"/>
    <w:rsid w:val="008F35CB"/>
    <w:rsid w:val="00900D45"/>
    <w:rsid w:val="009076B9"/>
    <w:rsid w:val="00917E9A"/>
    <w:rsid w:val="009259E4"/>
    <w:rsid w:val="00934C73"/>
    <w:rsid w:val="009369E2"/>
    <w:rsid w:val="00941558"/>
    <w:rsid w:val="0094468C"/>
    <w:rsid w:val="00945214"/>
    <w:rsid w:val="00945D52"/>
    <w:rsid w:val="0096685F"/>
    <w:rsid w:val="00971E31"/>
    <w:rsid w:val="00994DB9"/>
    <w:rsid w:val="00994DE8"/>
    <w:rsid w:val="00995736"/>
    <w:rsid w:val="009A1D2A"/>
    <w:rsid w:val="009A38A3"/>
    <w:rsid w:val="009C7148"/>
    <w:rsid w:val="009E3DFB"/>
    <w:rsid w:val="00A0337E"/>
    <w:rsid w:val="00A0648E"/>
    <w:rsid w:val="00A13536"/>
    <w:rsid w:val="00A23946"/>
    <w:rsid w:val="00A27594"/>
    <w:rsid w:val="00A5654E"/>
    <w:rsid w:val="00A57CAD"/>
    <w:rsid w:val="00A57CDC"/>
    <w:rsid w:val="00A823DB"/>
    <w:rsid w:val="00A87F49"/>
    <w:rsid w:val="00AA5EAD"/>
    <w:rsid w:val="00AB2091"/>
    <w:rsid w:val="00AB7FF8"/>
    <w:rsid w:val="00B15FBC"/>
    <w:rsid w:val="00B2051F"/>
    <w:rsid w:val="00B23C3A"/>
    <w:rsid w:val="00B32CA2"/>
    <w:rsid w:val="00B66DE8"/>
    <w:rsid w:val="00B75430"/>
    <w:rsid w:val="00B877C5"/>
    <w:rsid w:val="00B92B43"/>
    <w:rsid w:val="00B9452B"/>
    <w:rsid w:val="00BB21B1"/>
    <w:rsid w:val="00BB27B5"/>
    <w:rsid w:val="00BB33D8"/>
    <w:rsid w:val="00BC3EBE"/>
    <w:rsid w:val="00BC688D"/>
    <w:rsid w:val="00BD2FA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B6A3B"/>
    <w:rsid w:val="00CC6C60"/>
    <w:rsid w:val="00CC76F1"/>
    <w:rsid w:val="00CE0698"/>
    <w:rsid w:val="00CE5C81"/>
    <w:rsid w:val="00CE6C3A"/>
    <w:rsid w:val="00CF7560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62C19"/>
    <w:rsid w:val="00D738C2"/>
    <w:rsid w:val="00D77C2B"/>
    <w:rsid w:val="00D813B0"/>
    <w:rsid w:val="00D92329"/>
    <w:rsid w:val="00DA196C"/>
    <w:rsid w:val="00DD14CE"/>
    <w:rsid w:val="00DD1909"/>
    <w:rsid w:val="00DE2A2E"/>
    <w:rsid w:val="00DE38EB"/>
    <w:rsid w:val="00DF6B11"/>
    <w:rsid w:val="00E017CF"/>
    <w:rsid w:val="00E10222"/>
    <w:rsid w:val="00E203A8"/>
    <w:rsid w:val="00E653B5"/>
    <w:rsid w:val="00E734D9"/>
    <w:rsid w:val="00E77030"/>
    <w:rsid w:val="00E85A0B"/>
    <w:rsid w:val="00E87FF1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F7248"/>
    <w:rsid w:val="00F039DE"/>
    <w:rsid w:val="00F05D9E"/>
    <w:rsid w:val="00F06D0A"/>
    <w:rsid w:val="00F10824"/>
    <w:rsid w:val="00F10B69"/>
    <w:rsid w:val="00F13A2E"/>
    <w:rsid w:val="00F34403"/>
    <w:rsid w:val="00F449FB"/>
    <w:rsid w:val="00F47EF3"/>
    <w:rsid w:val="00F55682"/>
    <w:rsid w:val="00F64D62"/>
    <w:rsid w:val="00F74287"/>
    <w:rsid w:val="00F76B63"/>
    <w:rsid w:val="00F826D6"/>
    <w:rsid w:val="00F854A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  <w:style w:type="character" w:customStyle="1" w:styleId="RientroCarattere">
    <w:name w:val="Rientro Carattere"/>
    <w:link w:val="Rientro"/>
    <w:locked/>
    <w:rsid w:val="00193D40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193D40"/>
    <w:pPr>
      <w:widowControl w:val="0"/>
      <w:numPr>
        <w:numId w:val="25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alfaromeo_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alfaromeo.espana.ofici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alfaromeooficia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lfaromeopress.es/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a.martin@fcagroup.com" TargetMode="External"/><Relationship Id="rId14" Type="http://schemas.openxmlformats.org/officeDocument/2006/relationships/hyperlink" Target="http://www.alfaromeo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B46388-5A04-4294-9E76-1B941B8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2014-10-14T15:27:00Z</cp:lastPrinted>
  <dcterms:created xsi:type="dcterms:W3CDTF">2016-05-06T07:42:00Z</dcterms:created>
  <dcterms:modified xsi:type="dcterms:W3CDTF">2016-05-11T14:03:00Z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